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19972" w14:textId="3E02D467" w:rsidR="00241421" w:rsidRPr="0022630B" w:rsidRDefault="00241421" w:rsidP="00241421">
      <w:pPr>
        <w:jc w:val="center"/>
        <w:rPr>
          <w:b/>
          <w:sz w:val="32"/>
          <w:szCs w:val="32"/>
        </w:rPr>
      </w:pPr>
      <w:r w:rsidRPr="0022630B">
        <w:rPr>
          <w:b/>
          <w:sz w:val="32"/>
          <w:szCs w:val="32"/>
        </w:rPr>
        <w:t>强化微尺度燃烧器内火焰稳定性的方法和机理</w:t>
      </w:r>
    </w:p>
    <w:p w14:paraId="45A044F2" w14:textId="56AFD530" w:rsidR="00241421" w:rsidRPr="0022630B" w:rsidRDefault="00241421" w:rsidP="00241421">
      <w:pPr>
        <w:spacing w:line="360" w:lineRule="exact"/>
        <w:jc w:val="center"/>
        <w:rPr>
          <w:szCs w:val="21"/>
        </w:rPr>
      </w:pPr>
      <w:r w:rsidRPr="0022630B">
        <w:rPr>
          <w:szCs w:val="21"/>
        </w:rPr>
        <w:t>王</w:t>
      </w:r>
      <w:r w:rsidRPr="0022630B">
        <w:rPr>
          <w:szCs w:val="21"/>
        </w:rPr>
        <w:t>X</w:t>
      </w:r>
      <w:r w:rsidRPr="0022630B">
        <w:rPr>
          <w:szCs w:val="21"/>
          <w:vertAlign w:val="superscript"/>
        </w:rPr>
        <w:t>1</w:t>
      </w:r>
      <w:r w:rsidRPr="0022630B">
        <w:rPr>
          <w:szCs w:val="21"/>
        </w:rPr>
        <w:t>，陈</w:t>
      </w:r>
      <w:r w:rsidRPr="0022630B">
        <w:rPr>
          <w:szCs w:val="21"/>
        </w:rPr>
        <w:t>XX</w:t>
      </w:r>
      <w:r w:rsidRPr="0022630B">
        <w:rPr>
          <w:szCs w:val="21"/>
          <w:vertAlign w:val="superscript"/>
        </w:rPr>
        <w:t>2</w:t>
      </w:r>
      <w:r w:rsidRPr="0022630B">
        <w:rPr>
          <w:szCs w:val="21"/>
        </w:rPr>
        <w:t>，</w:t>
      </w:r>
      <w:proofErr w:type="gramStart"/>
      <w:r w:rsidRPr="0022630B">
        <w:rPr>
          <w:szCs w:val="21"/>
        </w:rPr>
        <w:t>葛</w:t>
      </w:r>
      <w:proofErr w:type="gramEnd"/>
      <w:r w:rsidRPr="0022630B">
        <w:rPr>
          <w:szCs w:val="21"/>
        </w:rPr>
        <w:t>XXX</w:t>
      </w:r>
      <w:r w:rsidRPr="0022630B">
        <w:rPr>
          <w:szCs w:val="21"/>
          <w:vertAlign w:val="superscript"/>
        </w:rPr>
        <w:t>3</w:t>
      </w:r>
    </w:p>
    <w:p w14:paraId="3081D25B" w14:textId="77777777" w:rsidR="00241421" w:rsidRPr="0022630B" w:rsidRDefault="00241421" w:rsidP="00241421">
      <w:pPr>
        <w:spacing w:line="360" w:lineRule="exact"/>
        <w:jc w:val="center"/>
        <w:rPr>
          <w:szCs w:val="21"/>
        </w:rPr>
      </w:pPr>
      <w:r w:rsidRPr="0022630B">
        <w:rPr>
          <w:szCs w:val="21"/>
        </w:rPr>
        <w:t>（</w:t>
      </w:r>
      <w:r w:rsidRPr="0022630B">
        <w:rPr>
          <w:szCs w:val="21"/>
        </w:rPr>
        <w:t xml:space="preserve">1. </w:t>
      </w:r>
      <w:r w:rsidRPr="0022630B">
        <w:rPr>
          <w:szCs w:val="21"/>
        </w:rPr>
        <w:t>清华大学热能工程系，北京</w:t>
      </w:r>
      <w:r w:rsidRPr="0022630B">
        <w:rPr>
          <w:szCs w:val="21"/>
        </w:rPr>
        <w:t xml:space="preserve"> 100084</w:t>
      </w:r>
      <w:r w:rsidRPr="0022630B">
        <w:rPr>
          <w:szCs w:val="21"/>
        </w:rPr>
        <w:t>；</w:t>
      </w:r>
      <w:r w:rsidRPr="0022630B">
        <w:rPr>
          <w:szCs w:val="21"/>
        </w:rPr>
        <w:t xml:space="preserve">2. </w:t>
      </w:r>
      <w:r w:rsidRPr="0022630B">
        <w:rPr>
          <w:szCs w:val="21"/>
        </w:rPr>
        <w:t>西安交通大学太阳能研究所，西安</w:t>
      </w:r>
      <w:r w:rsidRPr="0022630B">
        <w:rPr>
          <w:szCs w:val="21"/>
        </w:rPr>
        <w:t xml:space="preserve"> 710049</w:t>
      </w:r>
      <w:r w:rsidRPr="0022630B">
        <w:rPr>
          <w:szCs w:val="21"/>
        </w:rPr>
        <w:t>；</w:t>
      </w:r>
      <w:r w:rsidRPr="0022630B">
        <w:rPr>
          <w:szCs w:val="21"/>
        </w:rPr>
        <w:t xml:space="preserve"> </w:t>
      </w:r>
    </w:p>
    <w:p w14:paraId="4B889257" w14:textId="7F6FA9BF" w:rsidR="00241421" w:rsidRPr="0022630B" w:rsidRDefault="00241421" w:rsidP="00241421">
      <w:pPr>
        <w:jc w:val="center"/>
        <w:rPr>
          <w:b/>
          <w:bCs/>
        </w:rPr>
      </w:pPr>
      <w:r w:rsidRPr="0022630B">
        <w:rPr>
          <w:szCs w:val="21"/>
        </w:rPr>
        <w:t xml:space="preserve">3. </w:t>
      </w:r>
      <w:r w:rsidRPr="0022630B">
        <w:rPr>
          <w:szCs w:val="21"/>
        </w:rPr>
        <w:t>上海交通大学能源工程系，上海</w:t>
      </w:r>
      <w:r w:rsidRPr="0022630B">
        <w:rPr>
          <w:szCs w:val="21"/>
        </w:rPr>
        <w:t xml:space="preserve"> 200030 </w:t>
      </w:r>
      <w:r w:rsidRPr="0022630B">
        <w:rPr>
          <w:szCs w:val="21"/>
        </w:rPr>
        <w:t>）</w:t>
      </w:r>
      <w:r w:rsidRPr="0022630B">
        <w:rPr>
          <w:b/>
          <w:bCs/>
        </w:rPr>
        <w:t>，</w:t>
      </w:r>
    </w:p>
    <w:p w14:paraId="79807AAE" w14:textId="77777777" w:rsidR="00241421" w:rsidRPr="0022630B" w:rsidRDefault="00241421" w:rsidP="00241421">
      <w:pPr>
        <w:jc w:val="center"/>
        <w:rPr>
          <w:b/>
          <w:bCs/>
        </w:rPr>
      </w:pPr>
    </w:p>
    <w:p w14:paraId="36DDD2F2" w14:textId="19587BB2" w:rsidR="00241421" w:rsidRPr="00884A90" w:rsidRDefault="00241421" w:rsidP="00884A90">
      <w:pPr>
        <w:spacing w:line="312" w:lineRule="auto"/>
        <w:ind w:firstLine="420"/>
        <w:rPr>
          <w:b/>
          <w:bCs/>
          <w:color w:val="EE0000"/>
          <w:sz w:val="20"/>
          <w:szCs w:val="20"/>
        </w:rPr>
      </w:pPr>
      <w:r w:rsidRPr="0022630B">
        <w:rPr>
          <w:b/>
          <w:bCs/>
          <w:szCs w:val="21"/>
        </w:rPr>
        <w:t>论文摘要</w:t>
      </w:r>
      <w:r w:rsidR="008030B9" w:rsidRPr="00884A90">
        <w:rPr>
          <w:b/>
          <w:bCs/>
          <w:color w:val="FF0000"/>
          <w:sz w:val="20"/>
          <w:szCs w:val="20"/>
          <w:u w:val="single"/>
        </w:rPr>
        <w:t>（</w:t>
      </w:r>
      <w:r w:rsidR="00884A90" w:rsidRPr="00884A90">
        <w:rPr>
          <w:rFonts w:hint="eastAsia"/>
          <w:b/>
          <w:bCs/>
          <w:color w:val="EE0000"/>
          <w:sz w:val="20"/>
          <w:szCs w:val="20"/>
          <w:u w:val="single"/>
        </w:rPr>
        <w:t>长摘要不超过</w:t>
      </w:r>
      <w:r w:rsidR="00884A90" w:rsidRPr="00884A90">
        <w:rPr>
          <w:rFonts w:hint="eastAsia"/>
          <w:b/>
          <w:bCs/>
          <w:color w:val="EE0000"/>
          <w:sz w:val="20"/>
          <w:szCs w:val="20"/>
          <w:u w:val="single"/>
        </w:rPr>
        <w:t>4</w:t>
      </w:r>
      <w:r w:rsidR="00884A90" w:rsidRPr="00884A90">
        <w:rPr>
          <w:rFonts w:hint="eastAsia"/>
          <w:b/>
          <w:bCs/>
          <w:color w:val="EE0000"/>
          <w:sz w:val="20"/>
          <w:szCs w:val="20"/>
          <w:u w:val="single"/>
        </w:rPr>
        <w:t>页，全文不超过</w:t>
      </w:r>
      <w:r w:rsidR="00884A90" w:rsidRPr="00884A90">
        <w:rPr>
          <w:rFonts w:hint="eastAsia"/>
          <w:b/>
          <w:bCs/>
          <w:color w:val="EE0000"/>
          <w:sz w:val="20"/>
          <w:szCs w:val="20"/>
          <w:u w:val="single"/>
        </w:rPr>
        <w:t>6</w:t>
      </w:r>
      <w:r w:rsidR="00884A90" w:rsidRPr="00884A90">
        <w:rPr>
          <w:rFonts w:hint="eastAsia"/>
          <w:b/>
          <w:bCs/>
          <w:color w:val="EE0000"/>
          <w:sz w:val="20"/>
          <w:szCs w:val="20"/>
          <w:u w:val="single"/>
        </w:rPr>
        <w:t>页。</w:t>
      </w:r>
      <w:r w:rsidR="008030B9" w:rsidRPr="00884A90">
        <w:rPr>
          <w:b/>
          <w:bCs/>
          <w:color w:val="FF0000"/>
          <w:sz w:val="20"/>
          <w:szCs w:val="20"/>
          <w:u w:val="single"/>
        </w:rPr>
        <w:t>）</w:t>
      </w:r>
    </w:p>
    <w:p w14:paraId="70C87EFD" w14:textId="1DEB6A63" w:rsidR="00241421" w:rsidRPr="0022630B" w:rsidRDefault="00241421" w:rsidP="0022630B">
      <w:pPr>
        <w:spacing w:line="312" w:lineRule="auto"/>
        <w:ind w:firstLine="420"/>
        <w:rPr>
          <w:sz w:val="20"/>
          <w:szCs w:val="20"/>
        </w:rPr>
      </w:pPr>
      <w:r w:rsidRPr="0022630B">
        <w:rPr>
          <w:sz w:val="20"/>
          <w:szCs w:val="20"/>
        </w:rPr>
        <w:t>为解决微尺度下，表面积</w:t>
      </w:r>
      <w:r w:rsidRPr="0022630B">
        <w:rPr>
          <w:sz w:val="20"/>
          <w:szCs w:val="20"/>
        </w:rPr>
        <w:t>/</w:t>
      </w:r>
      <w:r w:rsidRPr="0022630B">
        <w:rPr>
          <w:sz w:val="20"/>
          <w:szCs w:val="20"/>
        </w:rPr>
        <w:t>体积（</w:t>
      </w:r>
      <w:r w:rsidRPr="0022630B">
        <w:rPr>
          <w:sz w:val="20"/>
          <w:szCs w:val="20"/>
        </w:rPr>
        <w:t>S/V</w:t>
      </w:r>
      <w:r w:rsidRPr="0022630B">
        <w:rPr>
          <w:sz w:val="20"/>
          <w:szCs w:val="20"/>
        </w:rPr>
        <w:t>）比急剧增大导致微燃烧器热损失严重、火焰不稳定等关键问题。本项目提出采用多孔壁面均匀进气的方法，合理组织和改善微燃烧器内燃料供给和流场结构，优化燃烧器内传热和传质特性，达到降低燃烧器壁面热损失、强化微尺度下火焰稳定性的目的。通过第一阶段对微火焰的基本燃烧特性及熄灭机理的研究和掌握，设计了特征尺度为</w:t>
      </w:r>
      <w:r w:rsidRPr="0022630B">
        <w:rPr>
          <w:sz w:val="20"/>
          <w:szCs w:val="20"/>
        </w:rPr>
        <w:t>10mm</w:t>
      </w:r>
      <w:r w:rsidRPr="0022630B">
        <w:rPr>
          <w:sz w:val="20"/>
          <w:szCs w:val="20"/>
        </w:rPr>
        <w:t>多孔壁面进气微燃烧器原型装置，试验证实火焰的稳定性得到强化，热损失显著降低，达到了课题预期的研究目的。</w:t>
      </w:r>
    </w:p>
    <w:p w14:paraId="1C2543AB" w14:textId="3BCB3DFE" w:rsidR="00241421" w:rsidRPr="0022630B" w:rsidRDefault="0022630B" w:rsidP="00241421">
      <w:pPr>
        <w:numPr>
          <w:ilvl w:val="0"/>
          <w:numId w:val="1"/>
        </w:numPr>
        <w:ind w:left="0" w:firstLine="0"/>
        <w:rPr>
          <w:b/>
          <w:bCs/>
          <w:szCs w:val="21"/>
        </w:rPr>
      </w:pPr>
      <w:r>
        <w:rPr>
          <w:rFonts w:hint="eastAsia"/>
          <w:b/>
          <w:bCs/>
          <w:szCs w:val="21"/>
        </w:rPr>
        <w:t>研究背景</w:t>
      </w:r>
    </w:p>
    <w:p w14:paraId="5CA1BF80" w14:textId="3B027893" w:rsidR="00241421" w:rsidRDefault="0022630B" w:rsidP="0022630B">
      <w:pPr>
        <w:spacing w:line="312" w:lineRule="auto"/>
        <w:ind w:firstLine="420"/>
        <w:rPr>
          <w:sz w:val="20"/>
          <w:szCs w:val="20"/>
        </w:rPr>
      </w:pPr>
      <w:r w:rsidRPr="0022630B">
        <w:rPr>
          <w:sz w:val="20"/>
          <w:szCs w:val="20"/>
        </w:rPr>
        <w:t>为解决微尺度下，表面积</w:t>
      </w:r>
      <w:r w:rsidRPr="0022630B">
        <w:rPr>
          <w:sz w:val="20"/>
          <w:szCs w:val="20"/>
        </w:rPr>
        <w:t>/</w:t>
      </w:r>
      <w:r w:rsidRPr="0022630B">
        <w:rPr>
          <w:sz w:val="20"/>
          <w:szCs w:val="20"/>
        </w:rPr>
        <w:t>体积（</w:t>
      </w:r>
      <w:r w:rsidRPr="0022630B">
        <w:rPr>
          <w:sz w:val="20"/>
          <w:szCs w:val="20"/>
        </w:rPr>
        <w:t>S/V</w:t>
      </w:r>
      <w:r w:rsidRPr="0022630B">
        <w:rPr>
          <w:sz w:val="20"/>
          <w:szCs w:val="20"/>
        </w:rPr>
        <w:t>）比急剧增大导致微燃烧器热损失严重、火焰不稳定等关键问题。</w:t>
      </w:r>
      <w:r>
        <w:rPr>
          <w:rFonts w:hint="eastAsia"/>
          <w:sz w:val="20"/>
          <w:szCs w:val="20"/>
        </w:rPr>
        <w:t>。。。。。。。。。。。。。。。。。。。。</w:t>
      </w:r>
    </w:p>
    <w:p w14:paraId="443C7D2C" w14:textId="4FC5D740" w:rsidR="00241421" w:rsidRPr="0022630B" w:rsidRDefault="00241421" w:rsidP="00241421">
      <w:pPr>
        <w:numPr>
          <w:ilvl w:val="0"/>
          <w:numId w:val="1"/>
        </w:numPr>
        <w:ind w:left="0" w:firstLine="0"/>
        <w:rPr>
          <w:b/>
          <w:bCs/>
          <w:szCs w:val="21"/>
        </w:rPr>
      </w:pPr>
      <w:r w:rsidRPr="0022630B">
        <w:rPr>
          <w:b/>
          <w:bCs/>
          <w:szCs w:val="21"/>
        </w:rPr>
        <w:t>研究</w:t>
      </w:r>
      <w:r w:rsidR="00F25914">
        <w:rPr>
          <w:rFonts w:hint="eastAsia"/>
          <w:b/>
          <w:bCs/>
          <w:szCs w:val="21"/>
        </w:rPr>
        <w:t>方法和方案</w:t>
      </w:r>
    </w:p>
    <w:p w14:paraId="5F9ADB7F" w14:textId="46DB5139" w:rsidR="00241421" w:rsidRDefault="00241421" w:rsidP="00F25914">
      <w:pPr>
        <w:spacing w:line="312" w:lineRule="auto"/>
        <w:ind w:firstLine="420"/>
        <w:rPr>
          <w:sz w:val="20"/>
          <w:szCs w:val="20"/>
        </w:rPr>
      </w:pPr>
      <w:r w:rsidRPr="0022630B">
        <w:rPr>
          <w:sz w:val="20"/>
          <w:szCs w:val="20"/>
        </w:rPr>
        <w:tab/>
      </w:r>
      <w:r w:rsidRPr="0022630B">
        <w:rPr>
          <w:sz w:val="20"/>
          <w:szCs w:val="20"/>
        </w:rPr>
        <w:t>通过火焰面附近燃烧场结构的数值解析，揭示了微尺度火焰的冷熄火机理，</w:t>
      </w:r>
      <w:proofErr w:type="gramStart"/>
      <w:r w:rsidRPr="0022630B">
        <w:rPr>
          <w:sz w:val="20"/>
          <w:szCs w:val="20"/>
        </w:rPr>
        <w:t>即微火焰</w:t>
      </w:r>
      <w:proofErr w:type="gramEnd"/>
      <w:r w:rsidRPr="0022630B">
        <w:rPr>
          <w:sz w:val="20"/>
          <w:szCs w:val="20"/>
        </w:rPr>
        <w:t>面附近激增的温度梯度导致的传导散热与燃烧反应的释放热量失去平衡，导致火焰无法维持。</w:t>
      </w:r>
      <w:r w:rsidR="00F25914">
        <w:rPr>
          <w:rFonts w:hint="eastAsia"/>
          <w:sz w:val="20"/>
          <w:szCs w:val="20"/>
        </w:rPr>
        <w:t>。。。。。</w:t>
      </w:r>
    </w:p>
    <w:p w14:paraId="11EDAB02" w14:textId="77777777" w:rsidR="0022630B" w:rsidRDefault="0022630B" w:rsidP="0022630B">
      <w:pPr>
        <w:jc w:val="center"/>
        <w:rPr>
          <w:rFonts w:ascii="宋体"/>
          <w:noProof/>
          <w:szCs w:val="21"/>
        </w:rPr>
      </w:pPr>
      <w:r>
        <w:rPr>
          <w:rFonts w:ascii="宋体"/>
          <w:noProof/>
          <w:szCs w:val="21"/>
        </w:rPr>
        <w:drawing>
          <wp:inline distT="0" distB="0" distL="0" distR="0" wp14:anchorId="48E832FA" wp14:editId="0EF873C5">
            <wp:extent cx="2370018" cy="1028223"/>
            <wp:effectExtent l="19050" t="0" r="0" b="0"/>
            <wp:docPr id="1" name="图片 1" descr="export ju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ort ju T"/>
                    <pic:cNvPicPr>
                      <a:picLocks noChangeAspect="1" noChangeArrowheads="1"/>
                    </pic:cNvPicPr>
                  </pic:nvPicPr>
                  <pic:blipFill>
                    <a:blip r:embed="rId7" cstate="print"/>
                    <a:srcRect l="7800" t="10162" r="6575" b="37347"/>
                    <a:stretch>
                      <a:fillRect/>
                    </a:stretch>
                  </pic:blipFill>
                  <pic:spPr bwMode="auto">
                    <a:xfrm>
                      <a:off x="0" y="0"/>
                      <a:ext cx="2370894" cy="1028603"/>
                    </a:xfrm>
                    <a:prstGeom prst="rect">
                      <a:avLst/>
                    </a:prstGeom>
                    <a:noFill/>
                    <a:ln w="9525">
                      <a:noFill/>
                      <a:miter lim="800000"/>
                      <a:headEnd/>
                      <a:tailEnd/>
                    </a:ln>
                  </pic:spPr>
                </pic:pic>
              </a:graphicData>
            </a:graphic>
          </wp:inline>
        </w:drawing>
      </w:r>
    </w:p>
    <w:p w14:paraId="65C62F76" w14:textId="77777777" w:rsidR="0022630B" w:rsidRDefault="0022630B" w:rsidP="0022630B">
      <w:pPr>
        <w:jc w:val="center"/>
        <w:rPr>
          <w:rFonts w:ascii="宋体"/>
          <w:noProof/>
          <w:szCs w:val="21"/>
        </w:rPr>
      </w:pPr>
      <w:r>
        <w:rPr>
          <w:rFonts w:ascii="宋体"/>
          <w:noProof/>
          <w:szCs w:val="21"/>
        </w:rPr>
        <w:drawing>
          <wp:inline distT="0" distB="0" distL="0" distR="0" wp14:anchorId="6C7E02F6" wp14:editId="394492A0">
            <wp:extent cx="2232594" cy="432780"/>
            <wp:effectExtent l="19050" t="0" r="0" b="0"/>
            <wp:docPr id="2" name="图片 2"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
                    <pic:cNvPicPr>
                      <a:picLocks noChangeAspect="1" noChangeArrowheads="1"/>
                    </pic:cNvPicPr>
                  </pic:nvPicPr>
                  <pic:blipFill>
                    <a:blip r:embed="rId8" cstate="print"/>
                    <a:srcRect l="17033" t="38808" r="12332" b="41376"/>
                    <a:stretch>
                      <a:fillRect/>
                    </a:stretch>
                  </pic:blipFill>
                  <pic:spPr bwMode="auto">
                    <a:xfrm>
                      <a:off x="0" y="0"/>
                      <a:ext cx="2232912" cy="432842"/>
                    </a:xfrm>
                    <a:prstGeom prst="rect">
                      <a:avLst/>
                    </a:prstGeom>
                    <a:noFill/>
                    <a:ln w="9525">
                      <a:noFill/>
                      <a:miter lim="800000"/>
                      <a:headEnd/>
                      <a:tailEnd/>
                    </a:ln>
                  </pic:spPr>
                </pic:pic>
              </a:graphicData>
            </a:graphic>
          </wp:inline>
        </w:drawing>
      </w:r>
    </w:p>
    <w:p w14:paraId="3A7FFBF7" w14:textId="34ADF696" w:rsidR="00241421" w:rsidRPr="0022630B" w:rsidRDefault="0022630B" w:rsidP="0022630B">
      <w:pPr>
        <w:autoSpaceDE w:val="0"/>
        <w:autoSpaceDN w:val="0"/>
        <w:adjustRightInd w:val="0"/>
        <w:ind w:right="50"/>
        <w:jc w:val="center"/>
        <w:rPr>
          <w:kern w:val="0"/>
          <w:sz w:val="18"/>
          <w:szCs w:val="18"/>
        </w:rPr>
      </w:pPr>
      <w:r>
        <w:rPr>
          <w:kern w:val="0"/>
          <w:sz w:val="18"/>
          <w:szCs w:val="18"/>
          <w:lang w:val="zh-CN"/>
        </w:rPr>
        <w:t>图</w:t>
      </w:r>
      <w:r>
        <w:rPr>
          <w:rFonts w:hint="eastAsia"/>
          <w:kern w:val="0"/>
          <w:sz w:val="18"/>
          <w:szCs w:val="18"/>
        </w:rPr>
        <w:t>2</w:t>
      </w:r>
      <w:r>
        <w:rPr>
          <w:kern w:val="0"/>
          <w:sz w:val="18"/>
          <w:szCs w:val="18"/>
        </w:rPr>
        <w:t xml:space="preserve"> </w:t>
      </w:r>
      <w:proofErr w:type="spellStart"/>
      <w:r>
        <w:rPr>
          <w:rFonts w:hint="eastAsia"/>
          <w:kern w:val="0"/>
          <w:sz w:val="18"/>
          <w:szCs w:val="18"/>
        </w:rPr>
        <w:t>xxxxxx</w:t>
      </w:r>
      <w:proofErr w:type="spellEnd"/>
    </w:p>
    <w:p w14:paraId="6D5FD91C" w14:textId="2CBE3EEB" w:rsidR="00241421" w:rsidRPr="0022630B" w:rsidRDefault="00F25914" w:rsidP="00241421">
      <w:pPr>
        <w:numPr>
          <w:ilvl w:val="0"/>
          <w:numId w:val="1"/>
        </w:numPr>
        <w:ind w:left="0" w:firstLine="0"/>
        <w:rPr>
          <w:b/>
          <w:bCs/>
          <w:szCs w:val="21"/>
        </w:rPr>
      </w:pPr>
      <w:r>
        <w:rPr>
          <w:rFonts w:hint="eastAsia"/>
          <w:b/>
          <w:bCs/>
          <w:szCs w:val="21"/>
        </w:rPr>
        <w:t>结果或</w:t>
      </w:r>
      <w:r w:rsidR="00241421" w:rsidRPr="0022630B">
        <w:rPr>
          <w:b/>
          <w:bCs/>
          <w:szCs w:val="21"/>
        </w:rPr>
        <w:t>结论</w:t>
      </w:r>
    </w:p>
    <w:p w14:paraId="41C64A7A" w14:textId="0D893EAB" w:rsidR="00AE6DA6" w:rsidRDefault="00F25914" w:rsidP="00F25914">
      <w:pPr>
        <w:spacing w:line="312" w:lineRule="auto"/>
        <w:ind w:firstLine="420"/>
      </w:pPr>
      <w:r w:rsidRPr="0022630B">
        <w:rPr>
          <w:sz w:val="20"/>
          <w:szCs w:val="20"/>
        </w:rPr>
        <w:tab/>
      </w:r>
      <w:r w:rsidRPr="0022630B">
        <w:rPr>
          <w:sz w:val="20"/>
          <w:szCs w:val="20"/>
        </w:rPr>
        <w:t>通过火焰面附近燃烧场结构的数值解析，揭示了微尺度火焰的冷熄火机理，</w:t>
      </w:r>
      <w:proofErr w:type="gramStart"/>
      <w:r w:rsidRPr="0022630B">
        <w:rPr>
          <w:sz w:val="20"/>
          <w:szCs w:val="20"/>
        </w:rPr>
        <w:t>即微火焰</w:t>
      </w:r>
      <w:proofErr w:type="gramEnd"/>
      <w:r w:rsidRPr="0022630B">
        <w:rPr>
          <w:sz w:val="20"/>
          <w:szCs w:val="20"/>
        </w:rPr>
        <w:t>面附近激增的温度梯度导致的传导散热与燃烧反应的释放热量失去平衡，导致火焰无法维持</w:t>
      </w:r>
      <w:r>
        <w:rPr>
          <w:rFonts w:hint="eastAsia"/>
          <w:sz w:val="20"/>
          <w:szCs w:val="20"/>
        </w:rPr>
        <w:t>。。。。。</w:t>
      </w:r>
    </w:p>
    <w:p w14:paraId="6C346BB6" w14:textId="57D210DC" w:rsidR="00F25914" w:rsidRDefault="00F25914" w:rsidP="00F25914">
      <w:pPr>
        <w:jc w:val="center"/>
        <w:rPr>
          <w:rFonts w:ascii="宋体"/>
          <w:noProof/>
          <w:szCs w:val="21"/>
        </w:rPr>
      </w:pPr>
      <w:r>
        <w:rPr>
          <w:rFonts w:ascii="宋体"/>
          <w:noProof/>
          <w:szCs w:val="21"/>
        </w:rPr>
        <w:drawing>
          <wp:inline distT="0" distB="0" distL="0" distR="0" wp14:anchorId="6F2059B9" wp14:editId="471F1348">
            <wp:extent cx="2370018" cy="1028223"/>
            <wp:effectExtent l="19050" t="0" r="0" b="0"/>
            <wp:docPr id="3" name="图片 3" descr="export ju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ort ju T"/>
                    <pic:cNvPicPr>
                      <a:picLocks noChangeAspect="1" noChangeArrowheads="1"/>
                    </pic:cNvPicPr>
                  </pic:nvPicPr>
                  <pic:blipFill>
                    <a:blip r:embed="rId7" cstate="print"/>
                    <a:srcRect l="7800" t="10162" r="6575" b="37347"/>
                    <a:stretch>
                      <a:fillRect/>
                    </a:stretch>
                  </pic:blipFill>
                  <pic:spPr bwMode="auto">
                    <a:xfrm>
                      <a:off x="0" y="0"/>
                      <a:ext cx="2370894" cy="1028603"/>
                    </a:xfrm>
                    <a:prstGeom prst="rect">
                      <a:avLst/>
                    </a:prstGeom>
                    <a:noFill/>
                    <a:ln w="9525">
                      <a:noFill/>
                      <a:miter lim="800000"/>
                      <a:headEnd/>
                      <a:tailEnd/>
                    </a:ln>
                  </pic:spPr>
                </pic:pic>
              </a:graphicData>
            </a:graphic>
          </wp:inline>
        </w:drawing>
      </w:r>
    </w:p>
    <w:p w14:paraId="32151DAE" w14:textId="77777777" w:rsidR="00F25914" w:rsidRPr="0022630B" w:rsidRDefault="00F25914" w:rsidP="00F25914">
      <w:pPr>
        <w:autoSpaceDE w:val="0"/>
        <w:autoSpaceDN w:val="0"/>
        <w:adjustRightInd w:val="0"/>
        <w:ind w:right="50"/>
        <w:jc w:val="center"/>
        <w:rPr>
          <w:kern w:val="0"/>
          <w:sz w:val="18"/>
          <w:szCs w:val="18"/>
        </w:rPr>
      </w:pPr>
      <w:r>
        <w:rPr>
          <w:kern w:val="0"/>
          <w:sz w:val="18"/>
          <w:szCs w:val="18"/>
          <w:lang w:val="zh-CN"/>
        </w:rPr>
        <w:t>图</w:t>
      </w:r>
      <w:r>
        <w:rPr>
          <w:rFonts w:hint="eastAsia"/>
          <w:kern w:val="0"/>
          <w:sz w:val="18"/>
          <w:szCs w:val="18"/>
        </w:rPr>
        <w:t>2</w:t>
      </w:r>
      <w:r>
        <w:rPr>
          <w:kern w:val="0"/>
          <w:sz w:val="18"/>
          <w:szCs w:val="18"/>
        </w:rPr>
        <w:t xml:space="preserve"> </w:t>
      </w:r>
      <w:proofErr w:type="spellStart"/>
      <w:r>
        <w:rPr>
          <w:rFonts w:hint="eastAsia"/>
          <w:kern w:val="0"/>
          <w:sz w:val="18"/>
          <w:szCs w:val="18"/>
        </w:rPr>
        <w:t>xxxxxx</w:t>
      </w:r>
      <w:proofErr w:type="spellEnd"/>
    </w:p>
    <w:p w14:paraId="0B858DFF" w14:textId="02DBCFB1" w:rsidR="00F25914" w:rsidRDefault="00E65E60" w:rsidP="00E65E60">
      <w:pPr>
        <w:numPr>
          <w:ilvl w:val="0"/>
          <w:numId w:val="1"/>
        </w:numPr>
        <w:ind w:left="0" w:firstLine="0"/>
        <w:rPr>
          <w:b/>
          <w:bCs/>
          <w:szCs w:val="21"/>
        </w:rPr>
      </w:pPr>
      <w:r>
        <w:rPr>
          <w:rFonts w:hint="eastAsia"/>
          <w:b/>
          <w:bCs/>
          <w:szCs w:val="21"/>
        </w:rPr>
        <w:t>参考文献</w:t>
      </w:r>
    </w:p>
    <w:p w14:paraId="43E9AD37" w14:textId="57AEA21A" w:rsidR="00E65E60" w:rsidRPr="00E65E60" w:rsidRDefault="00E65E60" w:rsidP="00E65E60">
      <w:pPr>
        <w:pStyle w:val="Reference"/>
        <w:ind w:left="567" w:hanging="567"/>
        <w:rPr>
          <w:rFonts w:ascii="Times New Roman" w:hAnsi="Times New Roman" w:hint="eastAsia"/>
        </w:rPr>
      </w:pPr>
      <w:r w:rsidRPr="00AF5577">
        <w:rPr>
          <w:rFonts w:ascii="Times New Roman" w:hAnsi="Times New Roman"/>
        </w:rPr>
        <w:lastRenderedPageBreak/>
        <w:t>Van der Geer, J., Hanraads, J.A.J., Lupton, R.A.: The art of writing a scientific article.</w:t>
      </w:r>
      <w:r w:rsidRPr="00AF5577">
        <w:rPr>
          <w:rFonts w:ascii="Times New Roman" w:hAnsi="Times New Roman"/>
          <w:color w:val="1F1F1F"/>
        </w:rPr>
        <w:t xml:space="preserve"> </w:t>
      </w:r>
      <w:r w:rsidRPr="00AF5577">
        <w:rPr>
          <w:rFonts w:ascii="Times New Roman" w:hAnsi="Times New Roman"/>
          <w:i/>
          <w:iCs w:val="0"/>
        </w:rPr>
        <w:t xml:space="preserve">J. Sci. Commun. </w:t>
      </w:r>
      <w:r w:rsidRPr="00AF5577">
        <w:rPr>
          <w:rFonts w:ascii="Times New Roman" w:hAnsi="Times New Roman"/>
          <w:b/>
          <w:bCs/>
        </w:rPr>
        <w:t>163</w:t>
      </w:r>
      <w:r w:rsidRPr="00AF5577">
        <w:rPr>
          <w:rFonts w:ascii="Times New Roman" w:hAnsi="Times New Roman"/>
        </w:rPr>
        <w:t xml:space="preserve">, </w:t>
      </w:r>
      <w:r w:rsidRPr="00AF5577">
        <w:rPr>
          <w:rFonts w:ascii="Times New Roman" w:hAnsi="Times New Roman"/>
          <w:iCs w:val="0"/>
        </w:rPr>
        <w:t>(</w:t>
      </w:r>
      <w:r w:rsidRPr="00AF5577">
        <w:rPr>
          <w:rFonts w:ascii="Times New Roman" w:hAnsi="Times New Roman"/>
        </w:rPr>
        <w:t>2010), 51–59.</w:t>
      </w:r>
    </w:p>
    <w:sectPr w:rsidR="00E65E60" w:rsidRPr="00E65E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162AB" w14:textId="77777777" w:rsidR="00175CC5" w:rsidRDefault="00175CC5" w:rsidP="00241421">
      <w:r>
        <w:separator/>
      </w:r>
    </w:p>
  </w:endnote>
  <w:endnote w:type="continuationSeparator" w:id="0">
    <w:p w14:paraId="6B163183" w14:textId="77777777" w:rsidR="00175CC5" w:rsidRDefault="00175CC5" w:rsidP="00241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80902" w14:textId="77777777" w:rsidR="00175CC5" w:rsidRDefault="00175CC5" w:rsidP="00241421">
      <w:r>
        <w:separator/>
      </w:r>
    </w:p>
  </w:footnote>
  <w:footnote w:type="continuationSeparator" w:id="0">
    <w:p w14:paraId="7CBF3DC4" w14:textId="77777777" w:rsidR="00175CC5" w:rsidRDefault="00175CC5" w:rsidP="00241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971DE"/>
    <w:multiLevelType w:val="multilevel"/>
    <w:tmpl w:val="085971D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D3D0B29"/>
    <w:multiLevelType w:val="multilevel"/>
    <w:tmpl w:val="7E42490C"/>
    <w:lvl w:ilvl="0">
      <w:start w:val="1"/>
      <w:numFmt w:val="chineseCountingThousand"/>
      <w:lvlText w:val="%1、"/>
      <w:lvlJc w:val="left"/>
      <w:pPr>
        <w:tabs>
          <w:tab w:val="num" w:pos="420"/>
        </w:tabs>
        <w:ind w:left="420" w:hanging="420"/>
      </w:pPr>
      <w:rPr>
        <w:color w:val="000000" w:themeColor="text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5D9556E6"/>
    <w:multiLevelType w:val="hybridMultilevel"/>
    <w:tmpl w:val="8C54D8DC"/>
    <w:lvl w:ilvl="0" w:tplc="F7F88E22">
      <w:start w:val="1"/>
      <w:numFmt w:val="decimal"/>
      <w:pStyle w:val="Reference"/>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A544DC1"/>
    <w:multiLevelType w:val="multilevel"/>
    <w:tmpl w:val="7A544DC1"/>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Wingdings" w:hAnsi="Wingding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3006233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588066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33244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5448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92"/>
    <w:rsid w:val="00032BE2"/>
    <w:rsid w:val="0003390D"/>
    <w:rsid w:val="00130BF8"/>
    <w:rsid w:val="00175CC5"/>
    <w:rsid w:val="0022630B"/>
    <w:rsid w:val="00235192"/>
    <w:rsid w:val="00241421"/>
    <w:rsid w:val="00407EA7"/>
    <w:rsid w:val="008030B9"/>
    <w:rsid w:val="00884A90"/>
    <w:rsid w:val="00A74914"/>
    <w:rsid w:val="00AE6DA6"/>
    <w:rsid w:val="00B442B8"/>
    <w:rsid w:val="00BB0E41"/>
    <w:rsid w:val="00C90FB4"/>
    <w:rsid w:val="00E65E60"/>
    <w:rsid w:val="00F25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B1CC5"/>
  <w15:chartTrackingRefBased/>
  <w15:docId w15:val="{49C17891-D278-4C80-AC1C-D06D82567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591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142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41421"/>
    <w:rPr>
      <w:sz w:val="18"/>
      <w:szCs w:val="18"/>
    </w:rPr>
  </w:style>
  <w:style w:type="paragraph" w:styleId="a5">
    <w:name w:val="footer"/>
    <w:basedOn w:val="a"/>
    <w:link w:val="a6"/>
    <w:uiPriority w:val="99"/>
    <w:unhideWhenUsed/>
    <w:rsid w:val="00241421"/>
    <w:pPr>
      <w:tabs>
        <w:tab w:val="center" w:pos="4153"/>
        <w:tab w:val="right" w:pos="8306"/>
      </w:tabs>
      <w:snapToGrid w:val="0"/>
      <w:jc w:val="left"/>
    </w:pPr>
    <w:rPr>
      <w:sz w:val="18"/>
      <w:szCs w:val="18"/>
    </w:rPr>
  </w:style>
  <w:style w:type="character" w:customStyle="1" w:styleId="a6">
    <w:name w:val="页脚 字符"/>
    <w:basedOn w:val="a0"/>
    <w:link w:val="a5"/>
    <w:uiPriority w:val="99"/>
    <w:rsid w:val="00241421"/>
    <w:rPr>
      <w:sz w:val="18"/>
      <w:szCs w:val="18"/>
    </w:rPr>
  </w:style>
  <w:style w:type="paragraph" w:styleId="a7">
    <w:name w:val="List Paragraph"/>
    <w:basedOn w:val="a"/>
    <w:uiPriority w:val="34"/>
    <w:qFormat/>
    <w:rsid w:val="00F25914"/>
    <w:pPr>
      <w:ind w:firstLineChars="200" w:firstLine="420"/>
    </w:pPr>
  </w:style>
  <w:style w:type="paragraph" w:customStyle="1" w:styleId="Reference">
    <w:name w:val="Reference"/>
    <w:rsid w:val="00E65E60"/>
    <w:pPr>
      <w:widowControl w:val="0"/>
      <w:numPr>
        <w:numId w:val="4"/>
      </w:numPr>
      <w:tabs>
        <w:tab w:val="clear" w:pos="0"/>
        <w:tab w:val="left" w:pos="567"/>
      </w:tabs>
      <w:ind w:left="851" w:hanging="851"/>
      <w:jc w:val="both"/>
    </w:pPr>
    <w:rPr>
      <w:rFonts w:ascii="Times" w:hAnsi="Times" w:cs="Times New Roman"/>
      <w:iCs/>
      <w:noProof/>
      <w:color w:val="000000"/>
      <w:kern w:val="0"/>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88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Wang</dc:creator>
  <cp:keywords/>
  <dc:description/>
  <cp:lastModifiedBy>summer zhang</cp:lastModifiedBy>
  <cp:revision>3</cp:revision>
  <dcterms:created xsi:type="dcterms:W3CDTF">2025-10-30T04:12:00Z</dcterms:created>
  <dcterms:modified xsi:type="dcterms:W3CDTF">2025-10-30T05:29:00Z</dcterms:modified>
</cp:coreProperties>
</file>